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dvk7sv3f5uwr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work habits often fail before we quit them consciously?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subtle overload builds, making tasks feel heavier even though the habit still looks workable.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main cause of unsustainable habits?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Designing habits around ideal days rather than normal, imperfect ones.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energy mismatch affect habit consistency?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When habits ignore natural energy levels, resistance grows and disengagement follows.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can AI-supported habits still fail?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When AI use becomes complex or unpredictable, it adds friction instead of removing it.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